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8332AB" w:rsidP="008332AB">
      <w:pPr>
        <w:pStyle w:val="Title"/>
        <w:tabs>
          <w:tab w:val="left" w:pos="9559"/>
        </w:tabs>
      </w:pPr>
      <w:r>
        <w:rPr>
          <w:noProof/>
          <w:lang w:eastAsia="en-GB"/>
        </w:rPr>
        <w:drawing>
          <wp:anchor distT="0" distB="0" distL="114300" distR="114300" simplePos="0" relativeHeight="251659264" behindDoc="1" locked="0" layoutInCell="1" allowOverlap="1" wp14:anchorId="6F5D1701" wp14:editId="614886BC">
            <wp:simplePos x="0" y="0"/>
            <wp:positionH relativeFrom="page">
              <wp:posOffset>3167380</wp:posOffset>
            </wp:positionH>
            <wp:positionV relativeFrom="paragraph">
              <wp:posOffset>-906780</wp:posOffset>
            </wp:positionV>
            <wp:extent cx="7534275" cy="106540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rsidR="00210F02">
        <w:t>STY</w:t>
      </w:r>
      <w:r w:rsidR="00537BB9">
        <w:t xml:space="preserve">D01 </w:t>
      </w:r>
      <w:r>
        <w:t>Clinical Reflections</w:t>
      </w:r>
      <w:r>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563121" w:rsidP="002B557B">
            <w:r>
              <w:t>09.10.19</w:t>
            </w:r>
          </w:p>
        </w:tc>
        <w:tc>
          <w:tcPr>
            <w:tcW w:w="2195" w:type="dxa"/>
            <w:tcBorders>
              <w:bottom w:val="single" w:sz="4" w:space="0" w:color="auto"/>
            </w:tcBorders>
          </w:tcPr>
          <w:p w:rsidR="008332AB" w:rsidRDefault="00563121" w:rsidP="002B557B">
            <w:proofErr w:type="spellStart"/>
            <w:r>
              <w:t>Marjon</w:t>
            </w:r>
            <w:proofErr w:type="spellEnd"/>
            <w:r>
              <w:t xml:space="preserve"> Sports Therapy Clinic and Sports Hall</w:t>
            </w:r>
          </w:p>
        </w:tc>
        <w:tc>
          <w:tcPr>
            <w:tcW w:w="2047" w:type="dxa"/>
            <w:tcBorders>
              <w:bottom w:val="single" w:sz="4" w:space="0" w:color="auto"/>
            </w:tcBorders>
          </w:tcPr>
          <w:p w:rsidR="008332AB" w:rsidRDefault="00563121" w:rsidP="002B557B">
            <w:r>
              <w:t>2.5 hours</w:t>
            </w:r>
          </w:p>
        </w:tc>
        <w:tc>
          <w:tcPr>
            <w:tcW w:w="7369" w:type="dxa"/>
            <w:tcBorders>
              <w:bottom w:val="single" w:sz="4" w:space="0" w:color="auto"/>
            </w:tcBorders>
          </w:tcPr>
          <w:p w:rsidR="008332AB" w:rsidRDefault="00563121" w:rsidP="002B557B">
            <w:r>
              <w:t>30 minutes observation of taping before a Netball game</w:t>
            </w:r>
          </w:p>
          <w:p w:rsidR="008332AB" w:rsidRDefault="00563121" w:rsidP="002B557B">
            <w:r>
              <w:t xml:space="preserve">2 hours working </w:t>
            </w:r>
            <w:proofErr w:type="spellStart"/>
            <w:r>
              <w:t>pitchside</w:t>
            </w:r>
            <w:proofErr w:type="spellEnd"/>
            <w:r>
              <w:t xml:space="preserve"> shadowing a third year student supporting </w:t>
            </w:r>
            <w:proofErr w:type="spellStart"/>
            <w:r>
              <w:t>Marjons</w:t>
            </w:r>
            <w:proofErr w:type="spellEnd"/>
            <w:r>
              <w:t xml:space="preserve"> and Exeter University Netball teams</w:t>
            </w:r>
          </w:p>
          <w:p w:rsidR="008332AB" w:rsidRDefault="008332AB" w:rsidP="002B557B"/>
        </w:tc>
      </w:tr>
    </w:tbl>
    <w:p w:rsidR="007F6C23" w:rsidRDefault="007F6C23"/>
    <w:p w:rsidR="007F6C23" w:rsidRDefault="007F6C23"/>
    <w:tbl>
      <w:tblPr>
        <w:tblStyle w:val="TableGrid"/>
        <w:tblW w:w="13948" w:type="dxa"/>
        <w:tblLayout w:type="fixed"/>
        <w:tblLook w:val="04A0" w:firstRow="1" w:lastRow="0" w:firstColumn="1" w:lastColumn="0" w:noHBand="0" w:noVBand="1"/>
      </w:tblPr>
      <w:tblGrid>
        <w:gridCol w:w="6374"/>
        <w:gridCol w:w="7574"/>
      </w:tblGrid>
      <w:tr w:rsidR="008332AB" w:rsidTr="007F6C23">
        <w:tc>
          <w:tcPr>
            <w:tcW w:w="6374" w:type="dxa"/>
            <w:shd w:val="clear" w:color="FF0000" w:fill="E5DFEC" w:themeFill="accent4" w:themeFillTint="33"/>
          </w:tcPr>
          <w:p w:rsidR="008332AB" w:rsidRDefault="008332AB" w:rsidP="002B557B">
            <w:pPr>
              <w:jc w:val="center"/>
            </w:pPr>
            <w:r>
              <w:t>Reflective Summary</w:t>
            </w:r>
          </w:p>
        </w:tc>
        <w:tc>
          <w:tcPr>
            <w:tcW w:w="7574"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7F6C23">
        <w:trPr>
          <w:trHeight w:val="1757"/>
        </w:trPr>
        <w:tc>
          <w:tcPr>
            <w:tcW w:w="6374" w:type="dxa"/>
            <w:vMerge w:val="restart"/>
          </w:tcPr>
          <w:p w:rsidR="008332AB" w:rsidRDefault="008332AB" w:rsidP="002B557B"/>
          <w:p w:rsidR="008332AB" w:rsidRDefault="00563121" w:rsidP="002B557B">
            <w:r>
              <w:t xml:space="preserve">It is usual practice before netball matches, to perform taping using either rigid tape or K-tape for </w:t>
            </w:r>
            <w:r w:rsidR="0083477A">
              <w:t>players who want it.</w:t>
            </w:r>
          </w:p>
          <w:p w:rsidR="0083477A" w:rsidRDefault="0083477A" w:rsidP="002B557B"/>
          <w:p w:rsidR="008332AB" w:rsidRDefault="0083477A" w:rsidP="002B557B">
            <w:r>
              <w:t xml:space="preserve">I observed a third-year Sports Therapist student tape perform a figure of eight strapping on a netball player’s ankles  The function of the strapping was to provide more support for the player by restricting ROM to prevent further injuries during the game. </w:t>
            </w:r>
          </w:p>
          <w:p w:rsidR="0083477A" w:rsidRDefault="0083477A" w:rsidP="002B557B"/>
          <w:p w:rsidR="007601D5" w:rsidRDefault="0083477A" w:rsidP="002B557B">
            <w:r>
              <w:t>The second taping was performed on a player who had had a previous meniscus injury on her right knee, using K-tape</w:t>
            </w:r>
            <w:r w:rsidR="007F6C23">
              <w:t xml:space="preserve"> </w:t>
            </w:r>
            <w:r w:rsidR="007F6C23">
              <w:fldChar w:fldCharType="begin" w:fldLock="1"/>
            </w:r>
            <w:r w:rsidR="007F6C23">
              <w:instrText>ADDIN CSL_CITATION {"citationItems":[{"id":"ITEM-1","itemData":{"ISBN":"161243553X","abstract":"Title from resource description page (Recorded Books, viewed May 02, 2016). The ultimate DIY taping guide of everyday injuries and ailments includes over 200 step-by-step photos Kinesiology tape is highly recommended by physical therapists, chiropractors, and professional trainers as an effective way to protect the body from injury. It's no surprise that kinesiology tape has been seen on famous athletes like soccer star David Beckham, tennis icon Serena Williams, and Olympian Kerri Walsh. Those famous athlete's have personal medical staff to tape 'em up, but now you can easily and affordably buy kinesiology tape for your own personal use at local drugstores and sporting good stores. Written by a certified kinesiology tape practitioner, this book teaches you how to care for 50 different head-to-toe personal pains and chronic conditions through comprehensive directions and instructive photos. The taping methods in this book address all injuries major and minor, from tendinitis and unstable joints to dislocations and post-surgery rehabilitation. The author teaches you how to master tape placement and tension so your body can perform its normal range of motions while simultaneously receiving amazing support.","author":[{"dropping-particle":"","family":"Kim","given":"Aliana.","non-dropping-particle":"","parse-names":false,"suffix":""}],"chapter-number":"Chapter 3","container-title":"Kinesiology taping for rehab and injury prevention : an easy, at-home guide for overcoming 50 common strains, pains and conditions","edition":"First edit","editor":[{"dropping-particle":"","family":"Vogel","given":"Casie","non-dropping-particle":"","parse-names":false,"suffix":""},{"dropping-particle":"","family":"Chun","given":"Claire","non-dropping-particle":"","parse-names":false,"suffix":""},{"dropping-particle":"","family":"Chou","given":"Lily","non-dropping-particle":"","parse-names":false,"suffix":""}],"id":"ITEM-1","issued":{"date-parts":[["2016"]]},"page":"25-26","publisher":"Ulysses Press","publisher-place":"Berkeley, CA","title":"Basic Kinesiology Techniques","type":"chapter"},"uris":["http://www.mendeley.com/documents/?uuid=71969972-a849-3632-af1e-6a83786057ee"]}],"mendeley":{"formattedCitation":"(Kim, 2016)","plainTextFormattedCitation":"(Kim, 2016)"},"properties":{"noteIndex":0},"schema":"https://github.com/citation-style-language/schema/raw/master/csl-citation.json"}</w:instrText>
            </w:r>
            <w:r w:rsidR="007F6C23">
              <w:fldChar w:fldCharType="separate"/>
            </w:r>
            <w:r w:rsidR="007F6C23" w:rsidRPr="007F6C23">
              <w:rPr>
                <w:noProof/>
              </w:rPr>
              <w:t>(Kim, 2016)</w:t>
            </w:r>
            <w:r w:rsidR="007F6C23">
              <w:fldChar w:fldCharType="end"/>
            </w:r>
            <w:r w:rsidR="007F6C23">
              <w:t xml:space="preserve">. </w:t>
            </w:r>
            <w:r w:rsidR="00742870">
              <w:t xml:space="preserve">Three strips of K-tape were used (two long and one short – the anchor).  The ends of the tape were rounded (by cutting off the corners) to stop the tape from lifting.  The knee was flexed at about 45 degrees. The first strip was placed on the </w:t>
            </w:r>
            <w:proofErr w:type="spellStart"/>
            <w:r w:rsidR="00742870">
              <w:t>tibial</w:t>
            </w:r>
            <w:proofErr w:type="spellEnd"/>
            <w:r w:rsidR="00742870">
              <w:t xml:space="preserve"> tuberosity and moulded around the medial side of the knee and fixed above the knee.  The second strip was </w:t>
            </w:r>
            <w:r w:rsidR="00742870">
              <w:lastRenderedPageBreak/>
              <w:t xml:space="preserve">placed over the top of the first strip on the </w:t>
            </w:r>
            <w:proofErr w:type="spellStart"/>
            <w:r w:rsidR="00742870">
              <w:t>tibial</w:t>
            </w:r>
            <w:proofErr w:type="spellEnd"/>
            <w:r w:rsidR="00742870">
              <w:t xml:space="preserve"> tuberosity and moulded around the lateral side of the knee and fixed above on the quadriceps.  The third strip was placed </w:t>
            </w:r>
            <w:r w:rsidR="007601D5">
              <w:t xml:space="preserve">on the lateral side of the knee and with a slight stretch, moulded </w:t>
            </w:r>
            <w:r w:rsidR="00742870">
              <w:t>under t</w:t>
            </w:r>
            <w:r w:rsidR="007601D5">
              <w:t>he knee joint</w:t>
            </w:r>
            <w:r w:rsidR="00505A7D">
              <w:t xml:space="preserve"> </w:t>
            </w:r>
            <w:r w:rsidR="007601D5">
              <w:t>and fixed on the medial side of the knee in ‘U’ shape.</w:t>
            </w:r>
          </w:p>
          <w:p w:rsidR="007601D5" w:rsidRDefault="007601D5" w:rsidP="002B557B"/>
          <w:p w:rsidR="00505A7D" w:rsidRDefault="00505A7D" w:rsidP="002B557B">
            <w:r>
              <w:t>Before the match I collected the kit bag and had a look inside to check the contents.  The bag contained deep heat, adhesive spray for k-taping, k-tape, rigid tape, bandages, pads, scissors, latex gloves, adhesive –elastic bandage and eye wash.  There were no ice-packs but it wasn’t a problem as we were close to the sports clinic and could obtain ice from the ice machine if required.</w:t>
            </w:r>
          </w:p>
          <w:p w:rsidR="00505A7D" w:rsidRDefault="00505A7D" w:rsidP="002B557B"/>
          <w:p w:rsidR="00505A7D" w:rsidRDefault="00505A7D" w:rsidP="002B557B">
            <w:r>
              <w:t>I took a</w:t>
            </w:r>
            <w:r w:rsidR="00AB5229">
              <w:t xml:space="preserve"> copy of the Sport Concussion Assessment Tool </w:t>
            </w:r>
            <w:r w:rsidR="003551F9">
              <w:t>5</w:t>
            </w:r>
            <w:r w:rsidR="003551F9" w:rsidRPr="003551F9">
              <w:rPr>
                <w:vertAlign w:val="superscript"/>
              </w:rPr>
              <w:t>th</w:t>
            </w:r>
            <w:r w:rsidR="003551F9">
              <w:t xml:space="preserve"> Edition </w:t>
            </w:r>
            <w:r w:rsidR="003551F9">
              <w:fldChar w:fldCharType="begin" w:fldLock="1"/>
            </w:r>
            <w:r w:rsidR="003551F9">
              <w:instrText>ADDIN CSL_CITATION {"citationItems":[{"id":"ITEM-1","itemData":{"DOI":"10.1136/bjsports-2017-097506","ISSN":"14730480","abstract":"© Article author(s) (or their employer(s) unless otherwise stated in the text of the article) 2017. All rights reserved. No commercial use is permitted unless otherwise expressly granted. This paper presents the Sport Concussion Assessment Tool 5th Edition (SCAT5), which is the most recent revision of a sport concussion evaluation tool for use by healthcare professionals in the acute evaluation of suspected concussion. The revision of the SCAT3 (first published in 2013) culminated in the SCAT5. The revision was based on a systematic review and synthesis of current research, public input and expert panel review as part of the 5th International Consensus Conference on Concussion in Sport held in Berlin in 2016. The SCAT5 is intended for use in those who are 13 years of age or older. The Child SCAT5 is a tool for those aged 5-12 years, which is discussed elsewhere.","author":[{"dropping-particle":"","family":"Echemendia","given":"Ruben J.","non-dropping-particle":"","parse-names":false,"suffix":""},{"dropping-particle":"","family":"Meeuwisse","given":"Willem","non-dropping-particle":"","parse-names":false,"suffix":""},{"dropping-particle":"","family":"McCrory","given":"Paul","non-dropping-particle":"","parse-names":false,"suffix":""},{"dropping-particle":"","family":"Davis","given":"Gavin A.","non-dropping-particle":"","parse-names":false,"suffix":""},{"dropping-particle":"","family":"Putukian","given":"Margot","non-dropping-particle":"","parse-names":false,"suffix":""},{"dropping-particle":"","family":"Leddy","given":"John","non-dropping-particle":"","parse-names":false,"suffix":""},{"dropping-particle":"","family":"Makdissi","given":"Michael","non-dropping-particle":"","parse-names":false,"suffix":""},{"dropping-particle":"","family":"Sullivan","given":"S. John","non-dropping-particle":"","parse-names":false,"suffix":""},{"dropping-particle":"","family":"Broglio","given":"Steven P.","non-dropping-particle":"","parse-names":false,"suffix":""},{"dropping-particle":"","family":"Raftery","given":"Martin","non-dropping-particle":"","parse-names":false,"suffix":""},{"dropping-particle":"","family":"Schneider","given":"Kathryn","non-dropping-particle":"","parse-names":false,"suffix":""},{"dropping-particle":"","family":"Kissick","given":"James","non-dropping-particle":"","parse-names":false,"suffix":""},{"dropping-particle":"","family":"McCrea","given":"Michael","non-dropping-particle":"","parse-names":false,"suffix":""},{"dropping-particle":"","family":"Dvořák","given":"Jiří","non-dropping-particle":"","parse-names":false,"suffix":""},{"dropping-particle":"","family":"Sills","given":"Allen K.","non-dropping-particle":"","parse-names":false,"suffix":""},{"dropping-particle":"","family":"Aubry","given":"Mark","non-dropping-particle":"","parse-names":false,"suffix":""},{"dropping-particle":"","family":"Engebretsen","given":"Lars","non-dropping-particle":"","parse-names":false,"suffix":""},{"dropping-particle":"","family":"Loosemore","given":"Mike","non-dropping-particle":"","parse-names":false,"suffix":""},{"dropping-particle":"","family":"Fuller","given":"Gordon","non-dropping-particle":"","parse-names":false,"suffix":""},{"dropping-particle":"","family":"Kutcher","given":"Jeffrey","non-dropping-particle":"","parse-names":false,"suffix":""},{"dropping-particle":"","family":"Ellenbogen","given":"Richard","non-dropping-particle":"","parse-names":false,"suffix":""},{"dropping-particle":"","family":"Guskiewicz","given":"Kevin","non-dropping-particle":"","parse-names":false,"suffix":""},{"dropping-particle":"","family":"Patricios","given":"Jon","non-dropping-particle":"","parse-names":false,"suffix":""},{"dropping-particle":"","family":"Herring","given":"Stanley","non-dropping-particle":"","parse-names":false,"suffix":""}],"container-title":"British journal of sports medicine","id":"ITEM-1","issue":"11","issued":{"date-parts":[["2017"]]},"page":"848-850","title":"The Sport Concussion Assessment Tool 5th Edition (SCAT5): Background and rationale","type":"article-journal","volume":"51"},"uris":["http://www.mendeley.com/documents/?uuid=5a11f3c4-1f42-409d-ac2f-768d77406e3c"]}],"mendeley":{"formattedCitation":"(Echemendia et al., 2017)","plainTextFormattedCitation":"(Echemendia et al., 2017)","previouslyFormattedCitation":"(Echemendia et al., 2017)"},"properties":{"noteIndex":0},"schema":"https://github.com/citation-style-language/schema/raw/master/csl-citation.json"}</w:instrText>
            </w:r>
            <w:r w:rsidR="003551F9">
              <w:fldChar w:fldCharType="separate"/>
            </w:r>
            <w:r w:rsidR="003551F9" w:rsidRPr="003551F9">
              <w:rPr>
                <w:noProof/>
              </w:rPr>
              <w:t>(Echemendia et al., 2017)</w:t>
            </w:r>
            <w:r w:rsidR="003551F9">
              <w:fldChar w:fldCharType="end"/>
            </w:r>
            <w:r w:rsidR="003551F9">
              <w:t>,</w:t>
            </w:r>
            <w:r w:rsidR="00AB5229">
              <w:t xml:space="preserve"> </w:t>
            </w:r>
            <w:r>
              <w:t>with me which detailed</w:t>
            </w:r>
            <w:r w:rsidR="003551F9">
              <w:t xml:space="preserve"> the assessments to perform on field should a player have a suspected concussion e.g. </w:t>
            </w:r>
            <w:r>
              <w:t>checking for observable signs, the Glasgow Coma Scale examination, memory assessment (</w:t>
            </w:r>
            <w:proofErr w:type="spellStart"/>
            <w:r>
              <w:t>Maddocks</w:t>
            </w:r>
            <w:proofErr w:type="spellEnd"/>
            <w:r>
              <w:t xml:space="preserve"> Questions) and </w:t>
            </w:r>
            <w:r w:rsidR="003551F9">
              <w:t xml:space="preserve">Cervical Spine assessment.  This document was </w:t>
            </w:r>
            <w:r>
              <w:t xml:space="preserve">my comfort blanket as I wasn’t feeling very confident (having never assisted </w:t>
            </w:r>
            <w:proofErr w:type="spellStart"/>
            <w:r>
              <w:t>pitchside</w:t>
            </w:r>
            <w:proofErr w:type="spellEnd"/>
            <w:r>
              <w:t xml:space="preserve"> before) and I didn’t know what to expect.  When I played netball as a young girl, many years ago, Netball was a much slower game.  Today the way it is played and changed almost beyond recogni</w:t>
            </w:r>
            <w:r w:rsidR="005D2DA3">
              <w:t>tion.  It is fast and very physical there is a greater risk of injury.</w:t>
            </w:r>
            <w:r>
              <w:t xml:space="preserve">  I very much followed the third year sports therapy student’</w:t>
            </w:r>
            <w:r w:rsidR="005D2DA3">
              <w:t>s lead.  She was very confident, which was very reassuring.  I knew I was in good hands.</w:t>
            </w:r>
          </w:p>
          <w:p w:rsidR="003551F9" w:rsidRDefault="003551F9" w:rsidP="002B557B"/>
          <w:p w:rsidR="00E450E1" w:rsidRDefault="00E450E1" w:rsidP="002B557B">
            <w:r>
              <w:t>I spoke the captain of the Exeter University Netball team, before the match, to check whether they had an attending sports physio/therapist assisting them.  There was no sports physio/therapist in attendance and the team captain confirmed that they would be happy for us to assist their players should they require first aid.</w:t>
            </w:r>
          </w:p>
          <w:p w:rsidR="00E450E1" w:rsidRDefault="00E450E1" w:rsidP="002B557B"/>
          <w:p w:rsidR="00E450E1" w:rsidRDefault="00E450E1" w:rsidP="002B557B">
            <w:r>
              <w:t>There were no injuries during the game.  We dealt with tightness in the quad muscles of two players by applying soft tissue massage and MET (specifically PIR) to improve ROM and release muscle tension after the second and third quarters.  At the end of the match we assisted a player who had pain in her ribs due to a collision</w:t>
            </w:r>
            <w:r w:rsidR="00CB2C2E">
              <w:t xml:space="preserve"> with another player</w:t>
            </w:r>
            <w:r>
              <w:t>, by encouraging her to sit down and regulate her breathing – deep inhale and exerted exhale.  She was fine and there was no indication of serious damage to her ribs.</w:t>
            </w:r>
            <w:r w:rsidR="00CB2C2E">
              <w:t xml:space="preserve"> </w:t>
            </w:r>
            <w:r w:rsidR="00CB2C2E">
              <w:t xml:space="preserve">I also applied soft tissue massage to a player who had tight quads and muscle spasm on the right thigh. </w:t>
            </w:r>
            <w:r w:rsidR="00CB2C2E">
              <w:t xml:space="preserve"> During the massage</w:t>
            </w:r>
            <w:r w:rsidR="00CB2C2E">
              <w:t xml:space="preserve"> I worked out a couple of trigger points with NMT.  </w:t>
            </w:r>
            <w:r w:rsidR="00CB2C2E">
              <w:t>The player</w:t>
            </w:r>
            <w:r w:rsidR="00CB2C2E">
              <w:t xml:space="preserve"> recovered well.</w:t>
            </w:r>
          </w:p>
          <w:p w:rsidR="00E450E1" w:rsidRDefault="00E450E1" w:rsidP="002B557B"/>
          <w:p w:rsidR="00E450E1" w:rsidRDefault="00E450E1" w:rsidP="002B557B"/>
          <w:p w:rsidR="003551F9" w:rsidRDefault="003551F9" w:rsidP="002B557B"/>
          <w:p w:rsidR="003551F9" w:rsidRDefault="003551F9" w:rsidP="002B557B">
            <w:pPr>
              <w:rPr>
                <w:b/>
              </w:rPr>
            </w:pPr>
            <w:r>
              <w:rPr>
                <w:b/>
              </w:rPr>
              <w:t>References</w:t>
            </w:r>
          </w:p>
          <w:p w:rsidR="003551F9" w:rsidRDefault="003551F9" w:rsidP="002B557B">
            <w:pPr>
              <w:rPr>
                <w:b/>
              </w:rPr>
            </w:pPr>
          </w:p>
          <w:p w:rsidR="007F6C23" w:rsidRDefault="003551F9" w:rsidP="007F6C23">
            <w:pPr>
              <w:widowControl w:val="0"/>
              <w:autoSpaceDE w:val="0"/>
              <w:autoSpaceDN w:val="0"/>
              <w:adjustRightInd w:val="0"/>
              <w:ind w:left="480" w:hanging="480"/>
              <w:rPr>
                <w:rFonts w:cs="Calibri"/>
                <w:noProof/>
              </w:rPr>
            </w:pPr>
            <w:r>
              <w:rPr>
                <w:b/>
              </w:rPr>
              <w:fldChar w:fldCharType="begin" w:fldLock="1"/>
            </w:r>
            <w:r>
              <w:rPr>
                <w:b/>
              </w:rPr>
              <w:instrText xml:space="preserve">ADDIN Mendeley Bibliography CSL_BIBLIOGRAPHY </w:instrText>
            </w:r>
            <w:r>
              <w:rPr>
                <w:b/>
              </w:rPr>
              <w:fldChar w:fldCharType="separate"/>
            </w:r>
            <w:r w:rsidR="007F6C23" w:rsidRPr="007F6C23">
              <w:rPr>
                <w:rFonts w:cs="Calibri"/>
                <w:noProof/>
              </w:rPr>
              <w:t xml:space="preserve">Echemendia, R. J., Meeuwisse, W., McCrory, P., Davis, G. A., Putukian, M., Leddy, J., … Herring, S. (2017). The Sport Concussion Assessment Tool 5th Edition (SCAT5): Background and rationale. </w:t>
            </w:r>
            <w:r w:rsidR="007F6C23" w:rsidRPr="007F6C23">
              <w:rPr>
                <w:rFonts w:cs="Calibri"/>
                <w:i/>
                <w:iCs/>
                <w:noProof/>
              </w:rPr>
              <w:t>British Journal of Sports Medicine</w:t>
            </w:r>
            <w:r w:rsidR="007F6C23" w:rsidRPr="007F6C23">
              <w:rPr>
                <w:rFonts w:cs="Calibri"/>
                <w:noProof/>
              </w:rPr>
              <w:t xml:space="preserve">, </w:t>
            </w:r>
            <w:r w:rsidR="007F6C23" w:rsidRPr="007F6C23">
              <w:rPr>
                <w:rFonts w:cs="Calibri"/>
                <w:i/>
                <w:iCs/>
                <w:noProof/>
              </w:rPr>
              <w:t>51</w:t>
            </w:r>
            <w:r w:rsidR="007F6C23" w:rsidRPr="007F6C23">
              <w:rPr>
                <w:rFonts w:cs="Calibri"/>
                <w:noProof/>
              </w:rPr>
              <w:t xml:space="preserve">(11), 848–850. </w:t>
            </w:r>
            <w:r w:rsidR="007F6C23" w:rsidRPr="007F6C23">
              <w:rPr>
                <w:rFonts w:cs="Calibri"/>
                <w:noProof/>
              </w:rPr>
              <w:lastRenderedPageBreak/>
              <w:t>https://doi.org/10.1136/bjsports-2017-097506</w:t>
            </w:r>
          </w:p>
          <w:p w:rsidR="007F6C23" w:rsidRPr="007F6C23" w:rsidRDefault="007F6C23" w:rsidP="007F6C23">
            <w:pPr>
              <w:widowControl w:val="0"/>
              <w:autoSpaceDE w:val="0"/>
              <w:autoSpaceDN w:val="0"/>
              <w:adjustRightInd w:val="0"/>
              <w:ind w:left="480" w:hanging="480"/>
              <w:rPr>
                <w:rFonts w:cs="Calibri"/>
                <w:noProof/>
              </w:rPr>
            </w:pPr>
          </w:p>
          <w:p w:rsidR="007F6C23" w:rsidRPr="007F6C23" w:rsidRDefault="007F6C23" w:rsidP="007F6C23">
            <w:pPr>
              <w:widowControl w:val="0"/>
              <w:autoSpaceDE w:val="0"/>
              <w:autoSpaceDN w:val="0"/>
              <w:adjustRightInd w:val="0"/>
              <w:ind w:left="480" w:hanging="480"/>
              <w:rPr>
                <w:rFonts w:cs="Calibri"/>
                <w:noProof/>
              </w:rPr>
            </w:pPr>
            <w:r w:rsidRPr="007F6C23">
              <w:rPr>
                <w:rFonts w:cs="Calibri"/>
                <w:noProof/>
              </w:rPr>
              <w:t xml:space="preserve">Kim, A. (2016). Basic Kinesiology Techniques. In C. Vogel, C. Chun, &amp; L. Chou (Eds.), </w:t>
            </w:r>
            <w:r w:rsidRPr="007F6C23">
              <w:rPr>
                <w:rFonts w:cs="Calibri"/>
                <w:i/>
                <w:iCs/>
                <w:noProof/>
              </w:rPr>
              <w:t>Kinesiology taping for rehab and injury prevention : an easy, at-home guide for overcoming 50 common strains, pains and conditions</w:t>
            </w:r>
            <w:bookmarkStart w:id="0" w:name="_GoBack"/>
            <w:bookmarkEnd w:id="0"/>
            <w:r w:rsidRPr="007F6C23">
              <w:rPr>
                <w:rFonts w:cs="Calibri"/>
                <w:noProof/>
              </w:rPr>
              <w:t xml:space="preserve">). Berkeley, CA: Ulysses Press. </w:t>
            </w:r>
          </w:p>
          <w:p w:rsidR="003551F9" w:rsidRPr="003551F9" w:rsidRDefault="003551F9" w:rsidP="002B557B">
            <w:pPr>
              <w:rPr>
                <w:b/>
              </w:rPr>
            </w:pPr>
            <w:r>
              <w:rPr>
                <w:b/>
              </w:rPr>
              <w:fldChar w:fldCharType="end"/>
            </w:r>
          </w:p>
          <w:p w:rsidR="008332AB" w:rsidRDefault="008332AB" w:rsidP="002B557B"/>
        </w:tc>
        <w:tc>
          <w:tcPr>
            <w:tcW w:w="7574" w:type="dxa"/>
            <w:tcBorders>
              <w:bottom w:val="single" w:sz="4" w:space="0" w:color="auto"/>
            </w:tcBorders>
          </w:tcPr>
          <w:p w:rsidR="008332AB" w:rsidRDefault="008332AB" w:rsidP="002B557B"/>
          <w:p w:rsidR="008332AB" w:rsidRDefault="003551F9" w:rsidP="002B557B">
            <w:r>
              <w:t xml:space="preserve">Continued assistance </w:t>
            </w:r>
            <w:proofErr w:type="spellStart"/>
            <w:r>
              <w:t>Pitchside</w:t>
            </w:r>
            <w:proofErr w:type="spellEnd"/>
            <w:r>
              <w:t xml:space="preserve"> to gain confidence in managing injuries.</w:t>
            </w:r>
          </w:p>
          <w:p w:rsidR="003551F9" w:rsidRDefault="003551F9" w:rsidP="002B557B"/>
          <w:p w:rsidR="003551F9" w:rsidRDefault="003551F9" w:rsidP="002B557B">
            <w:r>
              <w:t>Regularly revise and update first aid and emergency trauma knowledge.</w:t>
            </w:r>
          </w:p>
          <w:p w:rsidR="003551F9" w:rsidRDefault="003551F9" w:rsidP="002B557B"/>
          <w:p w:rsidR="008332AB" w:rsidRDefault="003551F9" w:rsidP="002B557B">
            <w:r>
              <w:t>Regularly revise anatomy.</w:t>
            </w:r>
          </w:p>
          <w:p w:rsidR="008332AB" w:rsidRDefault="008332AB" w:rsidP="002B557B"/>
          <w:p w:rsidR="008332AB" w:rsidRDefault="008332AB" w:rsidP="002B557B"/>
          <w:p w:rsidR="008332AB" w:rsidRDefault="008332AB" w:rsidP="002B557B"/>
          <w:p w:rsidR="008332AB" w:rsidRDefault="008332AB" w:rsidP="002B557B"/>
        </w:tc>
      </w:tr>
      <w:tr w:rsidR="008332AB" w:rsidTr="007F6C23">
        <w:trPr>
          <w:trHeight w:val="349"/>
        </w:trPr>
        <w:tc>
          <w:tcPr>
            <w:tcW w:w="6374" w:type="dxa"/>
            <w:vMerge/>
          </w:tcPr>
          <w:p w:rsidR="008332AB" w:rsidRDefault="008332AB" w:rsidP="002B557B"/>
        </w:tc>
        <w:tc>
          <w:tcPr>
            <w:tcW w:w="7574"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7F6C23">
        <w:trPr>
          <w:trHeight w:val="1565"/>
        </w:trPr>
        <w:tc>
          <w:tcPr>
            <w:tcW w:w="6374" w:type="dxa"/>
            <w:vMerge/>
          </w:tcPr>
          <w:p w:rsidR="008332AB" w:rsidRDefault="008332AB" w:rsidP="002B557B"/>
        </w:tc>
        <w:tc>
          <w:tcPr>
            <w:tcW w:w="7574" w:type="dxa"/>
          </w:tcPr>
          <w:p w:rsidR="008332AB" w:rsidRDefault="008332AB" w:rsidP="002B557B"/>
        </w:tc>
      </w:tr>
      <w:tr w:rsidR="008332AB" w:rsidTr="007F6C23">
        <w:trPr>
          <w:trHeight w:val="1304"/>
        </w:trPr>
        <w:tc>
          <w:tcPr>
            <w:tcW w:w="13948" w:type="dxa"/>
            <w:gridSpan w:val="2"/>
          </w:tcPr>
          <w:p w:rsidR="008332AB" w:rsidRDefault="008332AB" w:rsidP="002B557B"/>
          <w:p w:rsidR="008332AB" w:rsidRDefault="008332AB" w:rsidP="002B557B">
            <w:r>
              <w:t>For office use only:</w:t>
            </w:r>
          </w:p>
        </w:tc>
      </w:tr>
    </w:tbl>
    <w:p w:rsidR="008332AB" w:rsidRDefault="008332AB" w:rsidP="008332AB">
      <w:pPr>
        <w:rPr>
          <w:rFonts w:eastAsiaTheme="majorEastAsia"/>
        </w:rPr>
      </w:pPr>
    </w:p>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A5231"/>
    <w:rsid w:val="00123763"/>
    <w:rsid w:val="00147826"/>
    <w:rsid w:val="00210F02"/>
    <w:rsid w:val="002E070D"/>
    <w:rsid w:val="003551F9"/>
    <w:rsid w:val="00505A7D"/>
    <w:rsid w:val="00537BB9"/>
    <w:rsid w:val="00563121"/>
    <w:rsid w:val="005D2DA3"/>
    <w:rsid w:val="00742870"/>
    <w:rsid w:val="007601D5"/>
    <w:rsid w:val="007F6C23"/>
    <w:rsid w:val="008332AB"/>
    <w:rsid w:val="0083477A"/>
    <w:rsid w:val="00AB5229"/>
    <w:rsid w:val="00CB2C2E"/>
    <w:rsid w:val="00E450E1"/>
    <w:rsid w:val="00EB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40D6-C5EC-4909-976D-2CE23D38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4</cp:revision>
  <dcterms:created xsi:type="dcterms:W3CDTF">2019-10-10T09:43:00Z</dcterms:created>
  <dcterms:modified xsi:type="dcterms:W3CDTF">2019-10-10T10:46:00Z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4ca2f80c-3713-32f9-928b-b09e031f2536</vt:lpwstr>
  </property>
  <property fmtid="{D5CDD505-2E9C-101B-9397-08002B2CF9AE}" pid="24" name="Mendeley Citation Style_1">
    <vt:lpwstr>http://www.zotero.org/styles/apa</vt:lpwstr>
  </property>
</Properties>
</file>