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Achilles Tendinopathy: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 overuse injury caused by repetitive movement and excessive compression.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Sudden onset can cause a rupture of the achilles tendon. A lack of flexibility in the tendon.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Anatomy: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achilles tendon combines the gastrocnemius and soleus muscles to the posterior surface of calcaneus and the posterior-superior calcaneal tuberosity.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Can be insertional and tear directly at the calcaneus where the tendon inserts. This can rip part of the bone away and therefore require surgery to remove the bone segment.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Can be mid-portional and tear higher up in the tendon or where the tendon connects to the muscles.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Aetiology: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Decreased arterial blood flow, local hypoxia, decreased metabolic activity,nutrition and persistent inflammatory response are all factors that can lead to chronic tendon overuse.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Signs and symptoms: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Pain(back of leg or heel), Stiffness (in tendon), swelling (back of the ankle), PoP, crepitus (during movement of ankle).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Risk Factors: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Obesity, high blood pressure, rapid change to load, type 2 diabetes, prolonged steroid use, family history of tendinopathy, inappropriate footwear and elderly population.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Clinical presentation: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Morning pain, swelling and pain are less common, sensitive zones, combined with intratendinous swelling moving along the tendon.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Differential Diagnosis: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Plantar fasciitis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Calcaneal stress fracture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Heel pad syndrome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Posterior ankle impingement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Retrocalcaneal bursitis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Lumbar radiculopathy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DVT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Treatment: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Rest, ice, NSAIDS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Soft tissue techniques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Electrotherapy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Stretching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Joint mobilisations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Gait analysis and orthotics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Taping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Hydrotherapy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Eccentric loading exercise programme- calf raises on the stairs use a good leg to help raise up on to tip toes transfer your weight across to you bad leg slowly and slowly lower yourself down. Repeat.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Exercises-  calf raises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Acupuncture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Calf stretch against the wall straight leg, bend at the knee.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Toe on the wall dorsiflexion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